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36FA8" w:rsidR="00836FA8" w:rsidP="00B620EE" w:rsidRDefault="00836FA8" w14:paraId="5C7FF06E" w14:textId="21E32CD2">
      <w:pPr>
        <w:rPr>
          <w:b/>
          <w:bCs/>
        </w:rPr>
      </w:pPr>
      <w:r>
        <w:rPr>
          <w:b/>
          <w:bCs/>
        </w:rPr>
        <w:t>Omtale omgjøringsnektelse PVN-2024-01</w:t>
      </w:r>
    </w:p>
    <w:p w:rsidR="00836FA8" w:rsidP="00B620EE" w:rsidRDefault="00836FA8" w14:paraId="10337341" w14:textId="77777777"/>
    <w:p w:rsidR="00B620EE" w:rsidP="00B620EE" w:rsidRDefault="00B620EE" w14:paraId="16436ABA" w14:textId="3AF9CD2C">
      <w:r w:rsidR="00B620EE">
        <w:rPr/>
        <w:t xml:space="preserve">Saken gjelder spørsmål om omgjøring av Personvernnemndas vedtak 24. mai 2024 (PVN-2024-01), der As klage over Datatilsynets vedtak 28. november 2022 ble avvist </w:t>
      </w:r>
      <w:r w:rsidR="4B7AC435">
        <w:rPr/>
        <w:t xml:space="preserve">som følge av </w:t>
      </w:r>
      <w:r w:rsidR="00B620EE">
        <w:rPr/>
        <w:t xml:space="preserve">manglende klagerett etter forvaltningsloven § 28. </w:t>
      </w:r>
      <w:r w:rsidR="03A7F9D3">
        <w:rPr/>
        <w:t xml:space="preserve">Bakgrunnen for </w:t>
      </w:r>
      <w:r w:rsidR="71BE4138">
        <w:rPr/>
        <w:t>omgjørings</w:t>
      </w:r>
      <w:r w:rsidR="03A7F9D3">
        <w:rPr/>
        <w:t xml:space="preserve">saken var at </w:t>
      </w:r>
      <w:r w:rsidR="00B620EE">
        <w:rPr/>
        <w:t xml:space="preserve">Sivilombudet </w:t>
      </w:r>
      <w:r w:rsidR="00B620EE">
        <w:rPr/>
        <w:t xml:space="preserve">i </w:t>
      </w:r>
      <w:r w:rsidR="00B620EE">
        <w:rPr/>
        <w:t>uttalelse</w:t>
      </w:r>
      <w:r w:rsidR="00B620EE">
        <w:rPr/>
        <w:t xml:space="preserve"> 21. mai 2025 </w:t>
      </w:r>
      <w:r w:rsidR="551D2364">
        <w:rPr/>
        <w:t>(</w:t>
      </w:r>
      <w:r w:rsidR="54ABBD2D">
        <w:rPr/>
        <w:t>SOM-</w:t>
      </w:r>
      <w:r w:rsidR="551D2364">
        <w:rPr/>
        <w:t xml:space="preserve">2024-4601) </w:t>
      </w:r>
      <w:r w:rsidR="1CE58DCE">
        <w:rPr/>
        <w:t xml:space="preserve">la </w:t>
      </w:r>
      <w:r w:rsidR="551D2364">
        <w:rPr/>
        <w:t>til grunn</w:t>
      </w:r>
      <w:r w:rsidR="00B620EE">
        <w:rPr/>
        <w:t xml:space="preserve"> at A </w:t>
      </w:r>
      <w:r w:rsidR="4467300C">
        <w:rPr/>
        <w:t>har</w:t>
      </w:r>
      <w:r w:rsidR="00B620EE">
        <w:rPr/>
        <w:t xml:space="preserve"> klagerett etter personvernforordningen artikkel 78 nr. 1, og ba nemnda vurdere spørsmålet på ny. </w:t>
      </w:r>
    </w:p>
    <w:p w:rsidR="00B620EE" w:rsidP="320671F2" w:rsidRDefault="00B620EE" w14:paraId="314D56CF" w14:textId="6CB0B4D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0B620EE">
        <w:rPr/>
        <w:t xml:space="preserve">Nemnda </w:t>
      </w:r>
      <w:r w:rsidR="1830E109">
        <w:rPr/>
        <w:t xml:space="preserve">tok utgangspunkt i </w:t>
      </w:r>
      <w:r w:rsidR="00B620EE">
        <w:rPr/>
        <w:t>at A ikke er part i saken mot arbeidsgiveren</w:t>
      </w:r>
      <w:r w:rsidR="6A732B63">
        <w:rPr/>
        <w:t xml:space="preserve">. A vil </w:t>
      </w:r>
      <w:r w:rsidR="39A4A45D">
        <w:rPr/>
        <w:t xml:space="preserve">derfor bare </w:t>
      </w:r>
      <w:r w:rsidR="6A732B63">
        <w:rPr/>
        <w:t xml:space="preserve">ha klagerett etter forvaltningsloven </w:t>
      </w:r>
      <w:r w:rsidR="4518B59F">
        <w:rPr/>
        <w:t xml:space="preserve">§ 28 første ledd </w:t>
      </w:r>
      <w:r w:rsidR="6A732B63">
        <w:rPr/>
        <w:t xml:space="preserve">dersom hun har “rettslig klageinteresse”. </w:t>
      </w:r>
      <w:r w:rsidR="117686D0">
        <w:rPr/>
        <w:t xml:space="preserve">Dette forutsetter at vedtaket har klare faktiske virkninger for henne. </w:t>
      </w:r>
      <w:r w:rsidR="0A823FC3">
        <w:rPr/>
        <w:t>Nemnda la til grunn at</w:t>
      </w:r>
      <w:r w:rsidR="7392A628">
        <w:rPr/>
        <w:t xml:space="preserve"> </w:t>
      </w:r>
      <w:r w:rsidR="533E3E82">
        <w:rPr/>
        <w:t xml:space="preserve">vilkåret kunne ha vært oppfylt </w:t>
      </w:r>
      <w:r w:rsidR="0A823FC3">
        <w:rPr/>
        <w:t xml:space="preserve">dersom Datatilsynet hadde unnlatt å følge opp </w:t>
      </w:r>
      <w:r w:rsidR="059119A0">
        <w:rPr/>
        <w:t xml:space="preserve">hennes </w:t>
      </w:r>
      <w:r w:rsidR="0A823FC3">
        <w:rPr/>
        <w:t xml:space="preserve">klage og avvist saken, eller dersom Datatilsynet etter en realitetsbehandling </w:t>
      </w:r>
      <w:r w:rsidR="2A25FE71">
        <w:rPr/>
        <w:t>hadde komme</w:t>
      </w:r>
      <w:r w:rsidR="1D0D8CE0">
        <w:rPr/>
        <w:t>t</w:t>
      </w:r>
      <w:r w:rsidR="2A25FE71">
        <w:rPr/>
        <w:t xml:space="preserve"> </w:t>
      </w:r>
      <w:r w:rsidR="0A823FC3">
        <w:rPr/>
        <w:t xml:space="preserve">til at forordningen ikke </w:t>
      </w:r>
      <w:r w:rsidR="295479C9">
        <w:rPr/>
        <w:t>var</w:t>
      </w:r>
      <w:r w:rsidR="48C3856F">
        <w:rPr/>
        <w:t xml:space="preserve"> </w:t>
      </w:r>
      <w:r w:rsidR="0A823FC3">
        <w:rPr/>
        <w:t xml:space="preserve">brutt. </w:t>
      </w:r>
      <w:r w:rsidR="0CB55E63">
        <w:rPr/>
        <w:t xml:space="preserve">Det </w:t>
      </w:r>
      <w:r w:rsidR="6729B459">
        <w:rPr/>
        <w:t>vil</w:t>
      </w:r>
      <w:r w:rsidR="2050F022">
        <w:rPr/>
        <w:t xml:space="preserve">le </w:t>
      </w:r>
      <w:r w:rsidR="74A23F95">
        <w:rPr/>
        <w:t xml:space="preserve">videre </w:t>
      </w:r>
      <w:r w:rsidR="43281CBC">
        <w:rPr/>
        <w:t xml:space="preserve">ha </w:t>
      </w:r>
      <w:r w:rsidR="6729B459">
        <w:rPr/>
        <w:t>kunne</w:t>
      </w:r>
      <w:r w:rsidR="35D331B6">
        <w:rPr/>
        <w:t>t</w:t>
      </w:r>
      <w:r w:rsidR="6729B459">
        <w:rPr/>
        <w:t xml:space="preserve"> </w:t>
      </w:r>
      <w:r w:rsidR="6729B459">
        <w:rPr/>
        <w:t xml:space="preserve">foreligge klagerett over Datatilsynets </w:t>
      </w:r>
      <w:r w:rsidR="0A823FC3">
        <w:rPr/>
        <w:t>valg av korrigerende tiltak</w:t>
      </w:r>
      <w:r w:rsidR="09DB1558">
        <w:rPr/>
        <w:t xml:space="preserve"> d</w:t>
      </w:r>
      <w:r w:rsidR="0A823FC3">
        <w:rPr/>
        <w:t>ersom bruddet utgjør en pågående krenkelse av klagerens</w:t>
      </w:r>
      <w:r w:rsidR="5882AD2B">
        <w:rPr/>
        <w:t xml:space="preserve"> personverninteresser</w:t>
      </w:r>
      <w:r w:rsidR="0A823FC3">
        <w:rPr/>
        <w:t xml:space="preserve">, og hvor valget av korrigerende tiltak har betydning for om </w:t>
      </w:r>
      <w:r w:rsidR="1BDFE0A7">
        <w:rPr/>
        <w:t xml:space="preserve">- </w:t>
      </w:r>
      <w:r w:rsidR="0A823FC3">
        <w:rPr/>
        <w:t xml:space="preserve">og </w:t>
      </w:r>
      <w:r w:rsidR="3DD6B693">
        <w:rPr/>
        <w:t xml:space="preserve">i tilfelle </w:t>
      </w:r>
      <w:r w:rsidR="0A823FC3">
        <w:rPr/>
        <w:t xml:space="preserve">når </w:t>
      </w:r>
      <w:r w:rsidR="50E699DD">
        <w:rPr/>
        <w:t xml:space="preserve">- </w:t>
      </w:r>
      <w:r w:rsidR="0A823FC3">
        <w:rPr/>
        <w:t xml:space="preserve">krenkelsen opphører. </w:t>
      </w:r>
      <w:r w:rsidR="684BB2FF">
        <w:rPr/>
        <w:t>I den aktuelle sak</w:t>
      </w:r>
      <w:r w:rsidR="538A67D8">
        <w:rPr/>
        <w:t>e</w:t>
      </w:r>
      <w:r w:rsidR="684BB2FF">
        <w:rPr/>
        <w:t xml:space="preserve">n hadde ikke vedtaket </w:t>
      </w:r>
      <w:r w:rsidR="00B620EE">
        <w:rPr/>
        <w:t xml:space="preserve">faktiske virkninger for </w:t>
      </w:r>
      <w:r w:rsidR="554DC636">
        <w:rPr/>
        <w:t xml:space="preserve">klageren </w:t>
      </w:r>
      <w:r w:rsidR="00B620EE">
        <w:rPr/>
        <w:t xml:space="preserve">ut over </w:t>
      </w:r>
      <w:r w:rsidR="2B48F34E">
        <w:rPr/>
        <w:t>d</w:t>
      </w:r>
      <w:r w:rsidR="00B620EE">
        <w:rPr/>
        <w:t xml:space="preserve">en interesse </w:t>
      </w:r>
      <w:r w:rsidR="64AA29D3">
        <w:rPr/>
        <w:t xml:space="preserve">som ligger </w:t>
      </w:r>
      <w:r w:rsidR="00B620EE">
        <w:rPr/>
        <w:t xml:space="preserve">i at </w:t>
      </w:r>
      <w:r w:rsidR="3232DACA">
        <w:rPr/>
        <w:t xml:space="preserve">hun mente at </w:t>
      </w:r>
      <w:r w:rsidR="00B620EE">
        <w:rPr/>
        <w:t>Datatilsynet burde ha reagert strengere</w:t>
      </w:r>
      <w:r w:rsidR="60EAA646">
        <w:rPr/>
        <w:t xml:space="preserve"> overfor arbeidsgiveren</w:t>
      </w:r>
      <w:r w:rsidR="00B620EE">
        <w:rPr/>
        <w:t xml:space="preserve">. Nemnda </w:t>
      </w:r>
      <w:r w:rsidR="5EBBFD8A">
        <w:rPr/>
        <w:t>la til grunn at dette - når forv</w:t>
      </w:r>
      <w:r w:rsidR="7707F456">
        <w:rPr/>
        <w:t xml:space="preserve">altningsloven § 28 tolkes i sammenheng med </w:t>
      </w:r>
      <w:r w:rsidR="5EBBFD8A">
        <w:rPr/>
        <w:t>tvisteloven § 1-3</w:t>
      </w:r>
      <w:r w:rsidR="413B1791">
        <w:rPr/>
        <w:t>, jf. HR-2017-1130-A</w:t>
      </w:r>
      <w:r w:rsidR="5EBBFD8A">
        <w:rPr/>
        <w:t xml:space="preserve"> </w:t>
      </w:r>
      <w:r w:rsidR="0BA870BE">
        <w:rPr/>
        <w:t xml:space="preserve">- ikke var tilstrekkelig til å oppfylle vilkåret. </w:t>
      </w:r>
    </w:p>
    <w:p w:rsidR="00B620EE" w:rsidP="320671F2" w:rsidRDefault="00B620EE" w14:paraId="647697AA" w14:textId="3A71CD7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394FD976">
        <w:rPr/>
        <w:t>Nemnda vurderte videre om forordningen artikkel 78 nr. 1 kunne gi klagerett, slik Sivilombudet la til grunn</w:t>
      </w:r>
      <w:r w:rsidR="573BA5E6">
        <w:rPr/>
        <w:t xml:space="preserve">. </w:t>
      </w:r>
      <w:r w:rsidR="00B620EE">
        <w:rPr/>
        <w:t>Etter fortalepunkt 143 gjelder retten til effektivt rettsmiddel i utgangspunktet bare den avgjørelsen er bindende for</w:t>
      </w:r>
      <w:r w:rsidR="128C009C">
        <w:rPr/>
        <w:t xml:space="preserve">, jf. også EU-domstolens dom 26. november 2018 i sak T-458/17 </w:t>
      </w:r>
      <w:r w:rsidR="128C009C">
        <w:rPr/>
        <w:t>(</w:t>
      </w:r>
      <w:r w:rsidR="128C009C">
        <w:rPr/>
        <w:t>Shindler</w:t>
      </w:r>
      <w:r w:rsidR="128C009C">
        <w:rPr/>
        <w:t>) avsnitt 30</w:t>
      </w:r>
      <w:r w:rsidR="00B620EE">
        <w:rPr/>
        <w:t xml:space="preserve">. EU-domstolens </w:t>
      </w:r>
      <w:r w:rsidR="3C750EA6">
        <w:rPr/>
        <w:t>avgjørelser</w:t>
      </w:r>
      <w:r w:rsidR="04418FCE">
        <w:rPr/>
        <w:t xml:space="preserve"> </w:t>
      </w:r>
      <w:r w:rsidR="00B620EE">
        <w:rPr/>
        <w:t xml:space="preserve">i sakene SCHUFA </w:t>
      </w:r>
      <w:r w:rsidR="00B620EE">
        <w:rPr/>
        <w:t>Holding</w:t>
      </w:r>
      <w:r w:rsidR="00B620EE">
        <w:rPr/>
        <w:t xml:space="preserve"> (C-26/22 og C-64/22) og Land Hessen (C-768/21) </w:t>
      </w:r>
      <w:r w:rsidR="03E846E7">
        <w:rPr/>
        <w:t xml:space="preserve">endrer ikke dette. </w:t>
      </w:r>
      <w:r w:rsidR="72A07108">
        <w:rPr/>
        <w:t>Disse a</w:t>
      </w:r>
      <w:r w:rsidR="03E846E7">
        <w:rPr/>
        <w:t>vgjørelsen</w:t>
      </w:r>
      <w:r w:rsidR="3C039276">
        <w:rPr/>
        <w:t>e</w:t>
      </w:r>
      <w:r w:rsidR="03E846E7">
        <w:rPr/>
        <w:t xml:space="preserve"> </w:t>
      </w:r>
      <w:r w:rsidR="03E846E7">
        <w:rPr/>
        <w:t xml:space="preserve">gjelder rekkevidden av domstolenes prøvelsesrett når det </w:t>
      </w:r>
      <w:r w:rsidR="03E846E7">
        <w:rPr/>
        <w:t xml:space="preserve">er anlagt et søksmål. Dette er </w:t>
      </w:r>
      <w:r w:rsidR="03E846E7">
        <w:rPr/>
        <w:t xml:space="preserve">annet spørsmål enn </w:t>
      </w:r>
      <w:r w:rsidR="2351EABF">
        <w:rPr/>
        <w:t xml:space="preserve">det forutgående </w:t>
      </w:r>
      <w:r w:rsidR="03E846E7">
        <w:rPr/>
        <w:t>spørsmålet om hvem som har søksmålsadgang.</w:t>
      </w:r>
    </w:p>
    <w:p w:rsidR="03E846E7" w:rsidP="320671F2" w:rsidRDefault="03E846E7" w14:paraId="5590DAD8" w14:textId="5440EA3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3E846E7">
        <w:rPr/>
        <w:t>Nemnda fant etter dette ikke grunn til å omgjøre vedtaket om avvisning.</w:t>
      </w:r>
    </w:p>
    <w:p w:rsidR="008257C5" w:rsidP="00B620EE" w:rsidRDefault="00E345F1" w14:paraId="3A8EF4DC" w14:textId="519FDB23"/>
    <w:sectPr w:rsidR="008257C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A03B2"/>
    <w:multiLevelType w:val="multilevel"/>
    <w:tmpl w:val="80083930"/>
    <w:styleLink w:val="RiktigstilPVN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Times New Roman" w:hAnsi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"/>
      </w:pPr>
      <w:rPr>
        <w:rFonts w:hint="default"/>
      </w:rPr>
    </w:lvl>
  </w:abstractNum>
  <w:num w:numId="1" w16cid:durableId="55694268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3B"/>
    <w:rsid w:val="0001384D"/>
    <w:rsid w:val="00044616"/>
    <w:rsid w:val="000E1794"/>
    <w:rsid w:val="00133035"/>
    <w:rsid w:val="0017572E"/>
    <w:rsid w:val="001B7861"/>
    <w:rsid w:val="00255324"/>
    <w:rsid w:val="00284C94"/>
    <w:rsid w:val="002F0A1B"/>
    <w:rsid w:val="002F128A"/>
    <w:rsid w:val="002F4D55"/>
    <w:rsid w:val="00317CD4"/>
    <w:rsid w:val="003769B1"/>
    <w:rsid w:val="004A6BC2"/>
    <w:rsid w:val="0054593B"/>
    <w:rsid w:val="005E1FC1"/>
    <w:rsid w:val="00756021"/>
    <w:rsid w:val="007C5F66"/>
    <w:rsid w:val="008257C5"/>
    <w:rsid w:val="00836FA8"/>
    <w:rsid w:val="008767E3"/>
    <w:rsid w:val="008E1936"/>
    <w:rsid w:val="008F2FEA"/>
    <w:rsid w:val="00910E3C"/>
    <w:rsid w:val="009C2A2D"/>
    <w:rsid w:val="009D3A0E"/>
    <w:rsid w:val="009E3A2D"/>
    <w:rsid w:val="00AB39D5"/>
    <w:rsid w:val="00B620EE"/>
    <w:rsid w:val="00BA5251"/>
    <w:rsid w:val="00C03330"/>
    <w:rsid w:val="00C80407"/>
    <w:rsid w:val="00CC240A"/>
    <w:rsid w:val="00D3715A"/>
    <w:rsid w:val="00D41BF3"/>
    <w:rsid w:val="00DE7894"/>
    <w:rsid w:val="00E0425E"/>
    <w:rsid w:val="00E345F1"/>
    <w:rsid w:val="00E97E51"/>
    <w:rsid w:val="00EB2CB0"/>
    <w:rsid w:val="00FF143E"/>
    <w:rsid w:val="01560083"/>
    <w:rsid w:val="01AB4825"/>
    <w:rsid w:val="01CD36C9"/>
    <w:rsid w:val="01D85C53"/>
    <w:rsid w:val="02C74EE8"/>
    <w:rsid w:val="03A7F9D3"/>
    <w:rsid w:val="03E846E7"/>
    <w:rsid w:val="04418FCE"/>
    <w:rsid w:val="059119A0"/>
    <w:rsid w:val="075CF3A0"/>
    <w:rsid w:val="09DB1558"/>
    <w:rsid w:val="0A65FF60"/>
    <w:rsid w:val="0A823FC3"/>
    <w:rsid w:val="0B30D26A"/>
    <w:rsid w:val="0BA870BE"/>
    <w:rsid w:val="0CB55E63"/>
    <w:rsid w:val="0D153E39"/>
    <w:rsid w:val="10B43271"/>
    <w:rsid w:val="10F612C6"/>
    <w:rsid w:val="117686D0"/>
    <w:rsid w:val="1215568E"/>
    <w:rsid w:val="128C009C"/>
    <w:rsid w:val="13568C95"/>
    <w:rsid w:val="14C90920"/>
    <w:rsid w:val="1830E109"/>
    <w:rsid w:val="1892E053"/>
    <w:rsid w:val="1A504829"/>
    <w:rsid w:val="1BDFE0A7"/>
    <w:rsid w:val="1CE58DCE"/>
    <w:rsid w:val="1D0D8CE0"/>
    <w:rsid w:val="200016C1"/>
    <w:rsid w:val="2050F022"/>
    <w:rsid w:val="2351EABF"/>
    <w:rsid w:val="25338F2A"/>
    <w:rsid w:val="25BAA331"/>
    <w:rsid w:val="25C2A4B9"/>
    <w:rsid w:val="270851D2"/>
    <w:rsid w:val="271A34C8"/>
    <w:rsid w:val="281B1F29"/>
    <w:rsid w:val="295479C9"/>
    <w:rsid w:val="2A25FE71"/>
    <w:rsid w:val="2A6AA33C"/>
    <w:rsid w:val="2A88EA1C"/>
    <w:rsid w:val="2B48F34E"/>
    <w:rsid w:val="2C1403B3"/>
    <w:rsid w:val="30234967"/>
    <w:rsid w:val="31FA3BBC"/>
    <w:rsid w:val="320671F2"/>
    <w:rsid w:val="322942AA"/>
    <w:rsid w:val="3232DACA"/>
    <w:rsid w:val="323ADD55"/>
    <w:rsid w:val="32620DD2"/>
    <w:rsid w:val="3279D946"/>
    <w:rsid w:val="331D391C"/>
    <w:rsid w:val="357B9065"/>
    <w:rsid w:val="357F617E"/>
    <w:rsid w:val="35D331B6"/>
    <w:rsid w:val="394FD976"/>
    <w:rsid w:val="39A4A45D"/>
    <w:rsid w:val="3C039276"/>
    <w:rsid w:val="3C750EA6"/>
    <w:rsid w:val="3DA5703B"/>
    <w:rsid w:val="3DD6B693"/>
    <w:rsid w:val="3F22FD09"/>
    <w:rsid w:val="40FF75E6"/>
    <w:rsid w:val="413B1791"/>
    <w:rsid w:val="425773F8"/>
    <w:rsid w:val="42EB95D9"/>
    <w:rsid w:val="42F2E8EE"/>
    <w:rsid w:val="43281CBC"/>
    <w:rsid w:val="4467300C"/>
    <w:rsid w:val="4518B59F"/>
    <w:rsid w:val="46863A60"/>
    <w:rsid w:val="46B402AF"/>
    <w:rsid w:val="47CBBD5B"/>
    <w:rsid w:val="48C3856F"/>
    <w:rsid w:val="4925C3FC"/>
    <w:rsid w:val="4A6E34EE"/>
    <w:rsid w:val="4A7AB2E6"/>
    <w:rsid w:val="4B7AC435"/>
    <w:rsid w:val="50681974"/>
    <w:rsid w:val="50E699DD"/>
    <w:rsid w:val="529B3997"/>
    <w:rsid w:val="533E3E82"/>
    <w:rsid w:val="538A67D8"/>
    <w:rsid w:val="540195F7"/>
    <w:rsid w:val="54ABBD2D"/>
    <w:rsid w:val="551D2364"/>
    <w:rsid w:val="554DC636"/>
    <w:rsid w:val="55C9D9AE"/>
    <w:rsid w:val="56621A3B"/>
    <w:rsid w:val="573BA5E6"/>
    <w:rsid w:val="574BDE29"/>
    <w:rsid w:val="5882AD2B"/>
    <w:rsid w:val="596DE0F2"/>
    <w:rsid w:val="5E7E7CF0"/>
    <w:rsid w:val="5EBBFD8A"/>
    <w:rsid w:val="5FA07180"/>
    <w:rsid w:val="60EAA646"/>
    <w:rsid w:val="618A10DC"/>
    <w:rsid w:val="6197539C"/>
    <w:rsid w:val="61D3F481"/>
    <w:rsid w:val="64AA29D3"/>
    <w:rsid w:val="671C67FD"/>
    <w:rsid w:val="6729B459"/>
    <w:rsid w:val="6752B6ED"/>
    <w:rsid w:val="6759222F"/>
    <w:rsid w:val="678F425E"/>
    <w:rsid w:val="684BB2FF"/>
    <w:rsid w:val="696C38FE"/>
    <w:rsid w:val="6A732B63"/>
    <w:rsid w:val="6C70462D"/>
    <w:rsid w:val="6C7493EC"/>
    <w:rsid w:val="6DA98904"/>
    <w:rsid w:val="6DDF8115"/>
    <w:rsid w:val="7011586E"/>
    <w:rsid w:val="70626356"/>
    <w:rsid w:val="716B0300"/>
    <w:rsid w:val="71BE4138"/>
    <w:rsid w:val="71E9FAA2"/>
    <w:rsid w:val="7273B3CF"/>
    <w:rsid w:val="72A07108"/>
    <w:rsid w:val="7392A628"/>
    <w:rsid w:val="74A23F95"/>
    <w:rsid w:val="75623C98"/>
    <w:rsid w:val="7707F456"/>
    <w:rsid w:val="77B6933A"/>
    <w:rsid w:val="7909116D"/>
    <w:rsid w:val="7B36ABB6"/>
    <w:rsid w:val="7F4B6AF1"/>
    <w:rsid w:val="7F895A19"/>
    <w:rsid w:val="7FDC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CAFB84"/>
  <w15:chartTrackingRefBased/>
  <w15:docId w15:val="{CAAA2F02-ED5C-4E64-AEF5-D7946D19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532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93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93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93B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93B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93B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93B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93B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93B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93B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RiktigstilPVN" w:customStyle="1">
    <w:name w:val="Riktig stil PVN"/>
    <w:uiPriority w:val="99"/>
    <w:rsid w:val="007C5F66"/>
    <w:pPr>
      <w:numPr>
        <w:numId w:val="1"/>
      </w:numPr>
    </w:pPr>
  </w:style>
  <w:style w:type="character" w:styleId="Heading1Char" w:customStyle="1">
    <w:name w:val="Heading 1 Char"/>
    <w:basedOn w:val="DefaultParagraphFont"/>
    <w:link w:val="Heading1"/>
    <w:uiPriority w:val="9"/>
    <w:rsid w:val="0054593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4593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4593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4593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4593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4593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4593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4593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45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93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4593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93B"/>
    <w:pPr>
      <w:numPr>
        <w:ilvl w:val="1"/>
      </w:numPr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45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93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4593B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9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93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4593B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93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76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9B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769B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9B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769B1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0333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1E38A3275E934AAD51679616B8CE70" ma:contentTypeVersion="3" ma:contentTypeDescription="Opprett et nytt dokument." ma:contentTypeScope="" ma:versionID="721ebc61a8f37e484d5fc308caeed033">
  <xsd:schema xmlns:xsd="http://www.w3.org/2001/XMLSchema" xmlns:xs="http://www.w3.org/2001/XMLSchema" xmlns:p="http://schemas.microsoft.com/office/2006/metadata/properties" xmlns:ns2="7ae4de31-bcfa-4416-a10b-1535b8c99ade" targetNamespace="http://schemas.microsoft.com/office/2006/metadata/properties" ma:root="true" ma:fieldsID="9363ed8b00f997648fa5c71a22f890bd" ns2:_="">
    <xsd:import namespace="7ae4de31-bcfa-4416-a10b-1535b8c99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4de31-bcfa-4416-a10b-1535b8c99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8AEE19-E18E-445C-AB4C-A1603DA70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53579A-C47F-40A9-A31D-AA5A43218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4de31-bcfa-4416-a10b-1535b8c99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51465-0A9D-4A7C-B392-9CF3B4B360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a603eed-cd58-4da9-9f7d-e192271b47b1}" enabled="0" method="" siteId="{0a603eed-cd58-4da9-9f7d-e192271b47b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SRF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Soz Abdul-Rahman</dc:creator>
  <keywords/>
  <dc:description/>
  <lastModifiedBy>Marius Stub</lastModifiedBy>
  <revision>14</revision>
  <dcterms:created xsi:type="dcterms:W3CDTF">2026-02-27T16:47:00.0000000Z</dcterms:created>
  <dcterms:modified xsi:type="dcterms:W3CDTF">2026-06-03T10:44:49.8377566Z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0x010100091E38A3275E934AAD51679616B8CE70</vt:lpwstr>
  </property>
</Properties>
</file>